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991A" w14:textId="7A499276" w:rsidR="00007BCA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Příloha č. 1 </w:t>
      </w:r>
      <w:r w:rsidR="00D13E8E">
        <w:rPr>
          <w:rFonts w:asciiTheme="majorHAnsi" w:hAnsiTheme="majorHAnsi"/>
          <w:sz w:val="18"/>
          <w:szCs w:val="18"/>
        </w:rPr>
        <w:t>smlouvy</w:t>
      </w:r>
      <w:bookmarkStart w:id="0" w:name="_GoBack"/>
      <w:bookmarkEnd w:id="0"/>
    </w:p>
    <w:p w14:paraId="60D356AE" w14:textId="77777777" w:rsidR="00007BCA" w:rsidRDefault="00007BCA" w:rsidP="0066124E">
      <w:pPr>
        <w:rPr>
          <w:rFonts w:ascii="Calibri" w:hAnsi="Calibri"/>
          <w:b/>
          <w:sz w:val="28"/>
          <w:szCs w:val="28"/>
        </w:rPr>
      </w:pPr>
    </w:p>
    <w:p w14:paraId="26B1420E" w14:textId="77777777" w:rsidR="00007BCA" w:rsidRPr="00007BCA" w:rsidRDefault="00007BCA" w:rsidP="0066124E">
      <w:pPr>
        <w:rPr>
          <w:rFonts w:asciiTheme="majorHAnsi" w:hAnsiTheme="majorHAnsi"/>
          <w:b/>
          <w:color w:val="FF5200"/>
          <w:sz w:val="36"/>
          <w:szCs w:val="36"/>
        </w:rPr>
      </w:pPr>
      <w:r w:rsidRPr="00007BCA">
        <w:rPr>
          <w:rFonts w:asciiTheme="majorHAnsi" w:hAnsiTheme="majorHAnsi"/>
          <w:b/>
          <w:color w:val="FF5200"/>
          <w:sz w:val="36"/>
          <w:szCs w:val="36"/>
        </w:rPr>
        <w:t>Bližší specifikace předmětu plnění</w:t>
      </w:r>
    </w:p>
    <w:p w14:paraId="793FDBB0" w14:textId="77777777" w:rsidR="0066124E" w:rsidRPr="00007BCA" w:rsidRDefault="0066124E" w:rsidP="00007BCA">
      <w:pPr>
        <w:pStyle w:val="Odstavecseseznamem"/>
        <w:numPr>
          <w:ilvl w:val="0"/>
          <w:numId w:val="35"/>
        </w:numPr>
        <w:rPr>
          <w:rFonts w:asciiTheme="majorHAnsi" w:hAnsiTheme="majorHAnsi"/>
          <w:b/>
          <w:color w:val="FF5200"/>
          <w:sz w:val="36"/>
          <w:szCs w:val="36"/>
        </w:rPr>
      </w:pPr>
      <w:r w:rsidRPr="00007BCA">
        <w:rPr>
          <w:rFonts w:asciiTheme="majorHAnsi" w:hAnsiTheme="majorHAnsi"/>
          <w:b/>
          <w:color w:val="FF5200"/>
          <w:sz w:val="36"/>
          <w:szCs w:val="36"/>
        </w:rPr>
        <w:t>Technická specifikace předmětu plnění</w:t>
      </w:r>
    </w:p>
    <w:p w14:paraId="21DBEF84" w14:textId="77777777" w:rsidR="0066124E" w:rsidRPr="00007BCA" w:rsidRDefault="0066124E" w:rsidP="0066124E">
      <w:pPr>
        <w:rPr>
          <w:rFonts w:asciiTheme="majorHAnsi" w:hAnsiTheme="majorHAnsi"/>
          <w:b/>
          <w:color w:val="FF5200"/>
          <w:sz w:val="36"/>
          <w:szCs w:val="36"/>
        </w:rPr>
      </w:pPr>
    </w:p>
    <w:p w14:paraId="0D80691B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Zajištění poskytování technické podpory programu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SELECT pro produkty uvedené v této </w:t>
      </w:r>
      <w:r w:rsidR="007D72B7">
        <w:rPr>
          <w:rFonts w:asciiTheme="majorHAnsi" w:hAnsiTheme="majorHAnsi"/>
          <w:sz w:val="18"/>
          <w:szCs w:val="18"/>
        </w:rPr>
        <w:t>příloze</w:t>
      </w:r>
      <w:r w:rsidRPr="00007BCA">
        <w:rPr>
          <w:rFonts w:asciiTheme="majorHAnsi" w:hAnsiTheme="majorHAnsi"/>
          <w:sz w:val="18"/>
          <w:szCs w:val="18"/>
        </w:rPr>
        <w:t xml:space="preserve"> na dobu jednoho roku.</w:t>
      </w:r>
    </w:p>
    <w:p w14:paraId="124CF599" w14:textId="77777777" w:rsidR="0066124E" w:rsidRPr="00007BCA" w:rsidRDefault="0066124E" w:rsidP="00865B0B">
      <w:pPr>
        <w:ind w:left="426" w:hanging="426"/>
        <w:rPr>
          <w:rFonts w:asciiTheme="majorHAnsi" w:hAnsiTheme="majorHAnsi"/>
          <w:sz w:val="18"/>
          <w:szCs w:val="18"/>
        </w:rPr>
      </w:pPr>
    </w:p>
    <w:p w14:paraId="2D769852" w14:textId="145B1121" w:rsidR="0066124E" w:rsidRPr="00007BCA" w:rsidRDefault="0066124E" w:rsidP="00865B0B">
      <w:pPr>
        <w:numPr>
          <w:ilvl w:val="0"/>
          <w:numId w:val="34"/>
        </w:numPr>
        <w:ind w:left="426" w:hanging="426"/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Předmětem této </w:t>
      </w:r>
      <w:r w:rsidR="007D72B7">
        <w:rPr>
          <w:rFonts w:asciiTheme="majorHAnsi" w:hAnsiTheme="majorHAnsi"/>
          <w:sz w:val="18"/>
          <w:szCs w:val="18"/>
        </w:rPr>
        <w:t>veřejné zakázky</w:t>
      </w:r>
      <w:r w:rsidRPr="00007BCA">
        <w:rPr>
          <w:rFonts w:asciiTheme="majorHAnsi" w:hAnsiTheme="majorHAnsi"/>
          <w:sz w:val="18"/>
          <w:szCs w:val="18"/>
        </w:rPr>
        <w:t xml:space="preserve"> je poskytování technické podpory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,  jejichž specifikace je obsažena v této </w:t>
      </w:r>
      <w:r w:rsidR="007D72B7">
        <w:rPr>
          <w:rFonts w:asciiTheme="majorHAnsi" w:hAnsiTheme="majorHAnsi"/>
          <w:sz w:val="18"/>
          <w:szCs w:val="18"/>
        </w:rPr>
        <w:t>příloze</w:t>
      </w:r>
      <w:r w:rsidR="00865B0B">
        <w:rPr>
          <w:rFonts w:asciiTheme="majorHAnsi" w:hAnsiTheme="majorHAnsi"/>
          <w:sz w:val="18"/>
          <w:szCs w:val="18"/>
        </w:rPr>
        <w:t>, v rozsahu, který je dán bodem č. 5</w:t>
      </w:r>
      <w:r w:rsidRPr="00007BCA">
        <w:rPr>
          <w:rFonts w:asciiTheme="majorHAnsi" w:hAnsiTheme="majorHAnsi"/>
          <w:sz w:val="18"/>
          <w:szCs w:val="18"/>
        </w:rPr>
        <w:t xml:space="preserve"> této přílohy.</w:t>
      </w:r>
    </w:p>
    <w:p w14:paraId="39BE3BEF" w14:textId="062FF6E9" w:rsidR="0066124E" w:rsidRPr="00007BCA" w:rsidRDefault="0066124E" w:rsidP="00865B0B">
      <w:pPr>
        <w:numPr>
          <w:ilvl w:val="0"/>
          <w:numId w:val="34"/>
        </w:numPr>
        <w:ind w:left="426" w:hanging="426"/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Ke splnění předmětu této </w:t>
      </w:r>
      <w:r w:rsidR="007D72B7">
        <w:rPr>
          <w:rFonts w:asciiTheme="majorHAnsi" w:hAnsiTheme="majorHAnsi"/>
          <w:sz w:val="18"/>
          <w:szCs w:val="18"/>
        </w:rPr>
        <w:t>veřejné zakázky</w:t>
      </w:r>
      <w:r w:rsidRPr="00007BCA">
        <w:rPr>
          <w:rFonts w:asciiTheme="majorHAnsi" w:hAnsiTheme="majorHAnsi"/>
          <w:sz w:val="18"/>
          <w:szCs w:val="18"/>
        </w:rPr>
        <w:t xml:space="preserve"> se Poskytovatel ve spolupráci se společností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Systems zavazuje průběžně poskytovat Uživateli technickou podporu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, k jejichž užití poskytla společnost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Systems Uživateli licenci před datem podpisu smlouvy</w:t>
      </w:r>
      <w:r w:rsidR="00EE40BA">
        <w:rPr>
          <w:rFonts w:asciiTheme="majorHAnsi" w:hAnsiTheme="majorHAnsi"/>
          <w:sz w:val="18"/>
          <w:szCs w:val="18"/>
        </w:rPr>
        <w:t xml:space="preserve"> o poskytování subskripce (dále jen „smlouva“)</w:t>
      </w:r>
      <w:r w:rsidRPr="00007BCA">
        <w:rPr>
          <w:rFonts w:asciiTheme="majorHAnsi" w:hAnsiTheme="majorHAnsi"/>
          <w:sz w:val="18"/>
          <w:szCs w:val="18"/>
        </w:rPr>
        <w:t>.</w:t>
      </w:r>
    </w:p>
    <w:p w14:paraId="520E17DD" w14:textId="48F1BC2D" w:rsidR="0066124E" w:rsidRPr="00007BCA" w:rsidRDefault="0066124E" w:rsidP="00865B0B">
      <w:pPr>
        <w:numPr>
          <w:ilvl w:val="0"/>
          <w:numId w:val="34"/>
        </w:numPr>
        <w:ind w:left="426" w:hanging="426"/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Poskytování technické podpory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 týká vždy všech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oprávněně Uživatelem užívaných na základě licenčních podmínek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. Pokud v době účinnosti smlouvy získá Uživatel licenci opravňující jej k užití dalšího softwarového produktu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, rozšiřuje se automaticky Poskytovatelem poskytovaná systémová podpora i na takový další softwarový produkt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, a to počínaje okamžikem, kdy takový softwarový produkt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bude doplněn do přílohy smlouvy.</w:t>
      </w:r>
    </w:p>
    <w:p w14:paraId="01B6638A" w14:textId="77777777" w:rsidR="0066124E" w:rsidRPr="00007BCA" w:rsidRDefault="007D72B7" w:rsidP="00865B0B">
      <w:pPr>
        <w:numPr>
          <w:ilvl w:val="0"/>
          <w:numId w:val="34"/>
        </w:numPr>
        <w:ind w:left="426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Poskytovatel bude podle</w:t>
      </w:r>
      <w:r w:rsidR="0066124E" w:rsidRPr="00007BCA">
        <w:rPr>
          <w:rFonts w:asciiTheme="majorHAnsi" w:hAnsiTheme="majorHAnsi"/>
          <w:sz w:val="18"/>
          <w:szCs w:val="18"/>
        </w:rPr>
        <w:t xml:space="preserve"> Smlouvy poskytovat technickou podporu pouze standardním, nemodifikovaným softwarovým produktům </w:t>
      </w:r>
      <w:proofErr w:type="spellStart"/>
      <w:r w:rsidR="0066124E"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="0066124E" w:rsidRPr="00007BCA">
        <w:rPr>
          <w:rFonts w:asciiTheme="majorHAnsi" w:hAnsiTheme="majorHAnsi"/>
          <w:sz w:val="18"/>
          <w:szCs w:val="18"/>
        </w:rPr>
        <w:t xml:space="preserve"> provozovaným Uživatelem na standardním hardware tj. hardware, který odpovídá výkonovým, funkčním, případně jiným limitům, stanoveným společností </w:t>
      </w:r>
      <w:proofErr w:type="spellStart"/>
      <w:r w:rsidR="0066124E"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="0066124E" w:rsidRPr="00007BCA">
        <w:rPr>
          <w:rFonts w:asciiTheme="majorHAnsi" w:hAnsiTheme="majorHAnsi"/>
          <w:sz w:val="18"/>
          <w:szCs w:val="18"/>
        </w:rPr>
        <w:t xml:space="preserve">, jako nezbytný předpoklad užití softwarových produktů </w:t>
      </w:r>
      <w:proofErr w:type="spellStart"/>
      <w:r w:rsidR="0066124E"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="0066124E" w:rsidRPr="00007BCA">
        <w:rPr>
          <w:rFonts w:asciiTheme="majorHAnsi" w:hAnsiTheme="majorHAnsi"/>
          <w:sz w:val="18"/>
          <w:szCs w:val="18"/>
        </w:rPr>
        <w:t>.</w:t>
      </w:r>
    </w:p>
    <w:p w14:paraId="4477070E" w14:textId="52A46E95" w:rsidR="0066124E" w:rsidRPr="00007BCA" w:rsidRDefault="00865B0B" w:rsidP="00865B0B">
      <w:pPr>
        <w:numPr>
          <w:ilvl w:val="0"/>
          <w:numId w:val="34"/>
        </w:numPr>
        <w:ind w:left="426" w:hanging="426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Rozsah technické podpory</w:t>
      </w:r>
    </w:p>
    <w:p w14:paraId="25568EA3" w14:textId="77777777" w:rsidR="0066124E" w:rsidRPr="00007BCA" w:rsidRDefault="0066124E" w:rsidP="00865B0B">
      <w:pPr>
        <w:ind w:left="426"/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Technická podpora zahrnuje:</w:t>
      </w:r>
    </w:p>
    <w:p w14:paraId="04AAC1EF" w14:textId="77777777" w:rsidR="0066124E" w:rsidRPr="00007BCA" w:rsidRDefault="0066124E" w:rsidP="00865B0B">
      <w:pPr>
        <w:ind w:left="426"/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a) předávání aktualizovaných verzí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(</w:t>
      </w:r>
      <w:proofErr w:type="spellStart"/>
      <w:r w:rsidRPr="00007BCA">
        <w:rPr>
          <w:rFonts w:asciiTheme="majorHAnsi" w:hAnsiTheme="majorHAnsi"/>
          <w:sz w:val="18"/>
          <w:szCs w:val="18"/>
        </w:rPr>
        <w:t>updates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, </w:t>
      </w:r>
      <w:proofErr w:type="spellStart"/>
      <w:r w:rsidRPr="00007BCA">
        <w:rPr>
          <w:rFonts w:asciiTheme="majorHAnsi" w:hAnsiTheme="majorHAnsi"/>
          <w:sz w:val="18"/>
          <w:szCs w:val="18"/>
        </w:rPr>
        <w:t>upgrades</w:t>
      </w:r>
      <w:proofErr w:type="spellEnd"/>
      <w:r w:rsidRPr="00007BCA">
        <w:rPr>
          <w:rFonts w:asciiTheme="majorHAnsi" w:hAnsiTheme="majorHAnsi"/>
          <w:sz w:val="18"/>
          <w:szCs w:val="18"/>
        </w:rPr>
        <w:t>),</w:t>
      </w:r>
    </w:p>
    <w:p w14:paraId="25DEA293" w14:textId="77777777" w:rsidR="0066124E" w:rsidRPr="00007BCA" w:rsidRDefault="0066124E" w:rsidP="00865B0B">
      <w:pPr>
        <w:ind w:left="426"/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b) poskytování technické podpory (support),</w:t>
      </w:r>
    </w:p>
    <w:p w14:paraId="690FB672" w14:textId="77777777" w:rsidR="0066124E" w:rsidRPr="00007BCA" w:rsidRDefault="0066124E" w:rsidP="00865B0B">
      <w:pPr>
        <w:ind w:left="426"/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c) přístup k informačním zdrojům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a další služby,</w:t>
      </w:r>
    </w:p>
    <w:p w14:paraId="1AD7137A" w14:textId="0750CD8B" w:rsidR="0066124E" w:rsidRPr="00007BCA" w:rsidRDefault="0066124E" w:rsidP="00865B0B">
      <w:pPr>
        <w:ind w:left="426"/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d) další související služby (poskytnuté v rámci smlouvy).</w:t>
      </w:r>
    </w:p>
    <w:p w14:paraId="4812DD8D" w14:textId="77777777" w:rsidR="0066124E" w:rsidRPr="00007BCA" w:rsidRDefault="0066124E" w:rsidP="0066124E">
      <w:pPr>
        <w:rPr>
          <w:rFonts w:asciiTheme="majorHAnsi" w:hAnsiTheme="majorHAnsi"/>
          <w:b/>
          <w:sz w:val="18"/>
          <w:szCs w:val="18"/>
        </w:rPr>
      </w:pPr>
    </w:p>
    <w:p w14:paraId="16CA46D6" w14:textId="77777777" w:rsidR="0066124E" w:rsidRPr="00007BCA" w:rsidRDefault="0066124E" w:rsidP="0066124E">
      <w:pPr>
        <w:rPr>
          <w:rFonts w:asciiTheme="majorHAnsi" w:hAnsiTheme="majorHAnsi"/>
          <w:b/>
          <w:sz w:val="18"/>
          <w:szCs w:val="18"/>
        </w:rPr>
      </w:pPr>
      <w:r w:rsidRPr="00007BCA">
        <w:rPr>
          <w:rFonts w:asciiTheme="majorHAnsi" w:hAnsiTheme="majorHAnsi"/>
          <w:b/>
          <w:sz w:val="18"/>
          <w:szCs w:val="18"/>
        </w:rPr>
        <w:t>A. Předávání aktualizovaných verzí</w:t>
      </w:r>
    </w:p>
    <w:p w14:paraId="690C46B2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1. V rámci technické podpory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Poskytovatel bude průběžně a bezodkladně poskytovat Uživateli programové korekce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, softwarové dokumentace, nebo publikovaných operačních procedur tak, jak tyto jsou zveřejňovány společností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pro potřeby uživatelů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>.</w:t>
      </w:r>
    </w:p>
    <w:p w14:paraId="17011B65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2. Poskytování technické podpory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rovněž zahrnuje poskytování nových, vývojově vyšších verzí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bez nároku Poskytovatele na zvláštní poplatky. Budou-li nové verze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obsahovat modifikovanou funkčnost oproti předchozí verzi, potom budou tyto Poskytovatelem distribuovány spolu s náležitou dokumentací.</w:t>
      </w:r>
    </w:p>
    <w:p w14:paraId="2084A76B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3. Uživatel má možnost vyměnit licenci na produkt (mimo klientské licence), který je zahrnut do smlouvy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SELECT, na určité platformě za ekvivalentní licenci téhož produktu na jiné platformě, a to bez dodatečných poplatků.</w:t>
      </w:r>
    </w:p>
    <w:p w14:paraId="1C17706A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4. Pokud Uživatel obdrží výměnu platformy, je povinen ihned přestat používat původní produkt, na který se daná výměna platformy vztahuje.</w:t>
      </w:r>
    </w:p>
    <w:p w14:paraId="4A40635B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5. Vzhledem k tomu, že poskytovatel není schopen zabránit používání licencí nad stanovený limit, může po uživateli požadovat finanční náhradu za použití tzv. dočasných (termínovaných) licencí. Tuto skutečnost musí poskytovatel prokázat protokolem nebo jiným výpisem o využívání licencí za určité časové období. </w:t>
      </w:r>
    </w:p>
    <w:p w14:paraId="23307386" w14:textId="02FD0C06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6. K převzetí aktualizovaných verzí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, pokud tyto budou v průběhu platnosti smlouvy společností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uvolněny k distribuci koncovým uživatelům, vyzve </w:t>
      </w:r>
      <w:r w:rsidRPr="00007BCA">
        <w:rPr>
          <w:rFonts w:asciiTheme="majorHAnsi" w:hAnsiTheme="majorHAnsi"/>
          <w:sz w:val="18"/>
          <w:szCs w:val="18"/>
        </w:rPr>
        <w:lastRenderedPageBreak/>
        <w:t xml:space="preserve">Poskytovatel Uživatele písemně. Nové verze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budou Uživateli předány na digitálních nosičích, a to zásadně v místě sídla Poskytovatele, nebo si je Uživatel může stáhnout či objednat na stránkách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SELECT, nebude-li mezi stranami ad hoc ujednáno jinak. O předání a převzetí nových vývojových verzí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bude stranami pořízen písemný protokol.</w:t>
      </w:r>
    </w:p>
    <w:p w14:paraId="14CCB0E0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7. Poskytovatel v této souvislosti deklaruje obchodní zvyklosti a standardy společnosti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, kdy nové verze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zpravidla obsahují všechny funkční možností předchozí verze příslušných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>.</w:t>
      </w:r>
    </w:p>
    <w:p w14:paraId="0BAA4903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8. Poskytování technické podpory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nezahrnuje povinnost přizpůsobení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jiné, než původní konfiguraci.</w:t>
      </w:r>
    </w:p>
    <w:p w14:paraId="1EBF9E15" w14:textId="77777777" w:rsidR="0066124E" w:rsidRPr="00007BCA" w:rsidRDefault="0066124E" w:rsidP="0066124E">
      <w:pPr>
        <w:rPr>
          <w:rFonts w:asciiTheme="majorHAnsi" w:hAnsiTheme="majorHAnsi"/>
          <w:b/>
          <w:sz w:val="18"/>
          <w:szCs w:val="18"/>
        </w:rPr>
      </w:pPr>
    </w:p>
    <w:p w14:paraId="382042A1" w14:textId="77777777" w:rsidR="0066124E" w:rsidRPr="00007BCA" w:rsidRDefault="0066124E" w:rsidP="0066124E">
      <w:pPr>
        <w:rPr>
          <w:rFonts w:asciiTheme="majorHAnsi" w:hAnsiTheme="majorHAnsi"/>
          <w:b/>
          <w:sz w:val="18"/>
          <w:szCs w:val="18"/>
        </w:rPr>
      </w:pPr>
      <w:r w:rsidRPr="00007BCA">
        <w:rPr>
          <w:rFonts w:asciiTheme="majorHAnsi" w:hAnsiTheme="majorHAnsi"/>
          <w:b/>
          <w:sz w:val="18"/>
          <w:szCs w:val="18"/>
        </w:rPr>
        <w:t>B. Technická podpora</w:t>
      </w:r>
    </w:p>
    <w:p w14:paraId="48A8DA67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1. Součástí této smlouvy je též poskytování technické podpory Poskytovatelem Uživateli.</w:t>
      </w:r>
    </w:p>
    <w:p w14:paraId="10CF78F0" w14:textId="62841355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2. Pro účely výkladu smlouvy se za technickou podporu považuje telefonické nebo písemné poradenství ve věci užití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>.</w:t>
      </w:r>
    </w:p>
    <w:p w14:paraId="025F48A9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3. Technická podpora bude Uživateli poskytována v pracovních dnech v obvyklé pracovní době, tj. v době od 9.00 do 17.00 hod. Poskytovatel se zavazuje na žádost Uživatele o poskytnutí technické podpory reagovat bez zbytečného odkladu, nejdéle do 4 hodin od doručení žádosti kromě dnů pracovního klidu a pracovního volna.</w:t>
      </w:r>
    </w:p>
    <w:p w14:paraId="1C733B16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4. Požaduje-li Uživatel poskytnutí základní podpory telefonicky, je nezbytným předpokladem, že hardware, na kterém je softwarový produkt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instalován, může Uživatel obsluhovat v reálném čase tak, aby mohl bez prodlevy obratem reagovat na pokyny Poskytovatele, případně aby mohl Poskytovateli bezprostředně popsat činnost softwarového produktu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, resp. hardware, na kterém je softwarový produkt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instalován.</w:t>
      </w:r>
    </w:p>
    <w:p w14:paraId="0BAE7D9C" w14:textId="3F8E8880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5. Poskytovatel není povinen odpovídat na technické dotazy či poskytovat jiné služby podle smlouvy, pokud je příčinou dotazu Uživatele:</w:t>
      </w:r>
    </w:p>
    <w:p w14:paraId="40158025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a) začlenění nebo připojení funkce, programu či zařízení, jež neschválil nebo nedodal Poskytovatel k danému SW produktu,</w:t>
      </w:r>
    </w:p>
    <w:p w14:paraId="13E1E74E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b) neshodnost způsobená nehodou, přepravou, nedbalostí, zneužitím, úpravou, změnou nebo rozšířením produktu,</w:t>
      </w:r>
    </w:p>
    <w:p w14:paraId="5C736956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c) nezajištění vhodného instalačního prostředí,</w:t>
      </w:r>
    </w:p>
    <w:p w14:paraId="529CE574" w14:textId="564F77DD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d) použití produktu v rozporu s příslušnou dokumentací či smlouvou,</w:t>
      </w:r>
    </w:p>
    <w:p w14:paraId="681B6B7B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e) nezahrnutí aktualizace vydané společnosti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 tím, že Poskytovatel bude nabízet služby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SELECT pro danou verzi produktu minimálně po dobu 36 měsíců od jejího uvedeni na trh nebo do okamžiku vydání druhého upgradu, dojde-li k tomu dříve.</w:t>
      </w:r>
    </w:p>
    <w:p w14:paraId="7EF72D70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6. Pokud u Uživatele dojde k anomálii, která zastaví provoz, Poskytovatel v dobré víře vynaloží úsilí s cílem vytvořit vhodné řešení, které potom doručí elektronicky, případně jinak podle svého uvážení.</w:t>
      </w:r>
    </w:p>
    <w:p w14:paraId="6B972722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</w:p>
    <w:p w14:paraId="20C53086" w14:textId="77777777" w:rsidR="0066124E" w:rsidRPr="00007BCA" w:rsidRDefault="0066124E" w:rsidP="0066124E">
      <w:pPr>
        <w:rPr>
          <w:rFonts w:asciiTheme="majorHAnsi" w:hAnsiTheme="majorHAnsi"/>
          <w:b/>
          <w:sz w:val="18"/>
          <w:szCs w:val="18"/>
        </w:rPr>
      </w:pPr>
      <w:r w:rsidRPr="00007BCA">
        <w:rPr>
          <w:rFonts w:asciiTheme="majorHAnsi" w:hAnsiTheme="majorHAnsi"/>
          <w:b/>
          <w:sz w:val="18"/>
          <w:szCs w:val="18"/>
        </w:rPr>
        <w:t xml:space="preserve">C. Přistup k informačním zdrojům a dalším službám </w:t>
      </w:r>
      <w:proofErr w:type="spellStart"/>
      <w:r w:rsidRPr="00007BCA">
        <w:rPr>
          <w:rFonts w:asciiTheme="majorHAnsi" w:hAnsiTheme="majorHAnsi"/>
          <w:b/>
          <w:sz w:val="18"/>
          <w:szCs w:val="18"/>
        </w:rPr>
        <w:t>Bentley</w:t>
      </w:r>
      <w:proofErr w:type="spellEnd"/>
    </w:p>
    <w:p w14:paraId="47E3512E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1. Součástí technické podpory je též umožnění přístupu pracovníků Uživatele k informačním zdrojům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v rámci služby SELECT Online, jak je popsána v tzv. Online smlouvě na webových stránkách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>.</w:t>
      </w:r>
    </w:p>
    <w:p w14:paraId="76AE3D01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2.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může Uživateli nabízet různé služby, vč. školicích služeb prostřednictvím on-line služby, elektronické </w:t>
      </w:r>
      <w:proofErr w:type="spellStart"/>
      <w:r w:rsidRPr="00007BCA">
        <w:rPr>
          <w:rFonts w:asciiTheme="majorHAnsi" w:hAnsiTheme="majorHAnsi"/>
          <w:sz w:val="18"/>
          <w:szCs w:val="18"/>
        </w:rPr>
        <w:t>nástěnkové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služby, internetových stránek či jiné budoucí technologie (,,SELECT Online“). Uživatel je povinen používat přístup ke službě SELECT Online výhradně v souladu a v závislosti na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SELECT smlouvě a jejich podmínkách, případně doplněných on-line smlouvou, jejíž uzavření je podmínkou využívání služeb SELECT Online. Online smlouva doplňuje smlouvu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SELECT, ale v žádném případě ji nenahrazuje. V případě jakéhokoliv rozporu jsou rozhodující ustanovení smlouvy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SELECT.</w:t>
      </w:r>
    </w:p>
    <w:p w14:paraId="156753C4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3.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má výhradní právo kontrolovat formu, obsah, způsob podání a všechny další aspekty služby SELECT Online.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si konkrétně vyhrazuje právo kdykoliv a bez upozornění upravovat informace poskytované prostřednictvím služby SELECT Online, pozastavit jakoukoliv část této služby či tuto službu zcela ukončit.</w:t>
      </w:r>
    </w:p>
    <w:p w14:paraId="3805382E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4. Využívání služby SELECT Online Uživatelem představuje jeho souhlas s povinností dodržovat podmínky Online smlouvy, pokud ovšem nemá s </w:t>
      </w:r>
      <w:proofErr w:type="spellStart"/>
      <w:proofErr w:type="gram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proofErr w:type="gramEnd"/>
      <w:r w:rsidRPr="00007BCA">
        <w:rPr>
          <w:rFonts w:asciiTheme="majorHAnsi" w:hAnsiTheme="majorHAnsi"/>
          <w:sz w:val="18"/>
          <w:szCs w:val="18"/>
        </w:rPr>
        <w:t xml:space="preserve"> uzavřenu písemnou smlouvu jiného významu.</w:t>
      </w:r>
    </w:p>
    <w:p w14:paraId="3B491C78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5. Uživatel může po dobu platnosti smlouvy využívat i dalších služeb poskytovaných v rámci standardní služby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SELECT, jako je např. </w:t>
      </w:r>
      <w:proofErr w:type="spellStart"/>
      <w:r w:rsidRPr="00007BCA">
        <w:rPr>
          <w:rFonts w:asciiTheme="majorHAnsi" w:hAnsiTheme="majorHAnsi"/>
          <w:sz w:val="18"/>
          <w:szCs w:val="18"/>
        </w:rPr>
        <w:t>Product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</w:t>
      </w:r>
      <w:proofErr w:type="spellStart"/>
      <w:r w:rsidRPr="00007BCA">
        <w:rPr>
          <w:rFonts w:asciiTheme="majorHAnsi" w:hAnsiTheme="majorHAnsi"/>
          <w:sz w:val="18"/>
          <w:szCs w:val="18"/>
        </w:rPr>
        <w:t>Balancing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, </w:t>
      </w:r>
      <w:proofErr w:type="spellStart"/>
      <w:r w:rsidRPr="00007BCA">
        <w:rPr>
          <w:rFonts w:asciiTheme="majorHAnsi" w:hAnsiTheme="majorHAnsi"/>
          <w:sz w:val="18"/>
          <w:szCs w:val="18"/>
        </w:rPr>
        <w:t>Home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Use </w:t>
      </w:r>
      <w:proofErr w:type="spellStart"/>
      <w:r w:rsidRPr="00007BCA">
        <w:rPr>
          <w:rFonts w:asciiTheme="majorHAnsi" w:hAnsiTheme="majorHAnsi"/>
          <w:sz w:val="18"/>
          <w:szCs w:val="18"/>
        </w:rPr>
        <w:t>Licensing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,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Developer Network </w:t>
      </w:r>
      <w:proofErr w:type="spellStart"/>
      <w:r w:rsidRPr="00007BCA">
        <w:rPr>
          <w:rFonts w:asciiTheme="majorHAnsi" w:hAnsiTheme="majorHAnsi"/>
          <w:sz w:val="18"/>
          <w:szCs w:val="18"/>
        </w:rPr>
        <w:t>Membership</w:t>
      </w:r>
      <w:proofErr w:type="spellEnd"/>
      <w:r w:rsidRPr="00007BCA">
        <w:rPr>
          <w:rFonts w:asciiTheme="majorHAnsi" w:hAnsiTheme="majorHAnsi"/>
          <w:sz w:val="18"/>
          <w:szCs w:val="18"/>
        </w:rPr>
        <w:t>, ad.</w:t>
      </w:r>
    </w:p>
    <w:p w14:paraId="7ED606AD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6. Systémová podpora dále zahrnuje poskytnutí slevy Uživateli ve výši až 100% ze standardní ceny účastnického poplatku na konferencích pořádaných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nebo Poskytovatelem pro uživatele softwarových produktů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a dále poskytování informací o vývoji software (odborné časopisy, knihovna apod.).</w:t>
      </w:r>
    </w:p>
    <w:p w14:paraId="73CB07F1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lastRenderedPageBreak/>
        <w:t xml:space="preserve">7. V rámci služeb poskytovaných smlouvou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SELECT může Uživatel využívat bezplatně používané licence deﬁnované společností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. Bezplatné licence zanikají při ukončení smlouvy o podpoře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SELECT.</w:t>
      </w:r>
    </w:p>
    <w:p w14:paraId="4EFC945F" w14:textId="77777777" w:rsidR="0066124E" w:rsidRPr="00007BCA" w:rsidRDefault="0066124E" w:rsidP="0066124E">
      <w:pPr>
        <w:rPr>
          <w:rFonts w:asciiTheme="majorHAnsi" w:hAnsiTheme="majorHAnsi"/>
          <w:b/>
          <w:sz w:val="18"/>
          <w:szCs w:val="18"/>
        </w:rPr>
      </w:pPr>
    </w:p>
    <w:p w14:paraId="4AD4E909" w14:textId="77777777" w:rsidR="0066124E" w:rsidRPr="00007BCA" w:rsidRDefault="0066124E" w:rsidP="0066124E">
      <w:pPr>
        <w:rPr>
          <w:rFonts w:asciiTheme="majorHAnsi" w:hAnsiTheme="majorHAnsi"/>
          <w:b/>
          <w:sz w:val="18"/>
          <w:szCs w:val="18"/>
        </w:rPr>
      </w:pPr>
      <w:r w:rsidRPr="00007BCA">
        <w:rPr>
          <w:rFonts w:asciiTheme="majorHAnsi" w:hAnsiTheme="majorHAnsi"/>
          <w:b/>
          <w:sz w:val="18"/>
          <w:szCs w:val="18"/>
        </w:rPr>
        <w:t>D. Další související Služby (poskytnuté v rámci této smlouvy)</w:t>
      </w:r>
    </w:p>
    <w:p w14:paraId="64FCE704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V rámci standardně nabízených služeb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SELECT nabízí Poskytovatel i zajištění následujících služeb souvisejících s využíváním licencí SW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>, a to bez jakýchkoli dodatečných poplatků:</w:t>
      </w:r>
    </w:p>
    <w:p w14:paraId="5537821B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1) Průběžná statistika využití licencí v rámci portfolio </w:t>
      </w:r>
      <w:proofErr w:type="spellStart"/>
      <w:r w:rsidRPr="00007BCA">
        <w:rPr>
          <w:rFonts w:asciiTheme="majorHAnsi" w:hAnsiTheme="majorHAnsi"/>
          <w:sz w:val="18"/>
          <w:szCs w:val="18"/>
        </w:rPr>
        <w:t>balancing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a návrh optimální skladby pro další období.</w:t>
      </w:r>
    </w:p>
    <w:p w14:paraId="4D87371A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 xml:space="preserve">2) Předání a zprostředkování relevantních informací z technického portálu </w:t>
      </w:r>
      <w:proofErr w:type="spellStart"/>
      <w:r w:rsidRPr="00007BCA">
        <w:rPr>
          <w:rFonts w:asciiTheme="majorHAnsi" w:hAnsiTheme="majorHAnsi"/>
          <w:sz w:val="18"/>
          <w:szCs w:val="18"/>
        </w:rPr>
        <w:t>Bentley</w:t>
      </w:r>
      <w:proofErr w:type="spellEnd"/>
      <w:r w:rsidRPr="00007BCA">
        <w:rPr>
          <w:rFonts w:asciiTheme="majorHAnsi" w:hAnsiTheme="majorHAnsi"/>
          <w:sz w:val="18"/>
          <w:szCs w:val="18"/>
        </w:rPr>
        <w:t xml:space="preserve"> Systems ze sekce FAQ.</w:t>
      </w:r>
    </w:p>
    <w:p w14:paraId="5759AC7F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</w:rPr>
      </w:pPr>
      <w:r w:rsidRPr="00007BCA">
        <w:rPr>
          <w:rFonts w:asciiTheme="majorHAnsi" w:hAnsiTheme="majorHAnsi"/>
          <w:sz w:val="18"/>
          <w:szCs w:val="18"/>
        </w:rPr>
        <w:t>3) Předání a zprostředkování informací od specialistů poskytovatele souvisejících s postupy a procesy Správy železnic, které odpovídají svou povahou obdobným řešením u zákazníků poskytovatele.</w:t>
      </w:r>
    </w:p>
    <w:p w14:paraId="263B6BFD" w14:textId="77777777" w:rsidR="0066124E" w:rsidRPr="00007BCA" w:rsidRDefault="0066124E" w:rsidP="0066124E">
      <w:pPr>
        <w:rPr>
          <w:rFonts w:asciiTheme="majorHAnsi" w:hAnsiTheme="majorHAnsi"/>
          <w:sz w:val="18"/>
          <w:szCs w:val="18"/>
          <w:u w:val="single"/>
        </w:rPr>
      </w:pPr>
      <w:r w:rsidRPr="00007BCA">
        <w:rPr>
          <w:rFonts w:asciiTheme="majorHAnsi" w:hAnsiTheme="majorHAnsi"/>
          <w:sz w:val="18"/>
          <w:szCs w:val="18"/>
          <w:u w:val="single"/>
        </w:rPr>
        <w:t xml:space="preserve"> </w:t>
      </w:r>
    </w:p>
    <w:p w14:paraId="50AA994F" w14:textId="77777777" w:rsidR="009F392E" w:rsidRPr="00007BCA" w:rsidRDefault="009F392E" w:rsidP="00F0533E">
      <w:pPr>
        <w:rPr>
          <w:rFonts w:asciiTheme="majorHAnsi" w:hAnsiTheme="majorHAnsi"/>
          <w:sz w:val="18"/>
          <w:szCs w:val="18"/>
        </w:rPr>
      </w:pPr>
    </w:p>
    <w:sectPr w:rsidR="009F392E" w:rsidRPr="00007BCA" w:rsidSect="00865B0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1701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E8397" w14:textId="77777777" w:rsidR="00AB23EC" w:rsidRDefault="00AB23EC" w:rsidP="00962258">
      <w:r>
        <w:separator/>
      </w:r>
    </w:p>
  </w:endnote>
  <w:endnote w:type="continuationSeparator" w:id="0">
    <w:p w14:paraId="540188F8" w14:textId="77777777" w:rsidR="00AB23EC" w:rsidRDefault="00AB23E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13CC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9D222D" w14:textId="7C7967D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3E8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3E8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4EE7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AC339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7437607" w14:textId="77777777" w:rsidR="00F1715C" w:rsidRDefault="00F1715C" w:rsidP="00D831A3">
          <w:pPr>
            <w:pStyle w:val="Zpat"/>
          </w:pPr>
        </w:p>
      </w:tc>
    </w:tr>
  </w:tbl>
  <w:p w14:paraId="6C95476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2FF5686" wp14:editId="08A711C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82DC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61A12A" wp14:editId="18707F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73EA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E65BB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149283" w14:textId="4763153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3E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3E8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4592C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C1C479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F426C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8808AE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65E1F0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3DA3314" w14:textId="77777777" w:rsidR="00F1715C" w:rsidRDefault="00F1715C" w:rsidP="00460660">
          <w:pPr>
            <w:pStyle w:val="Zpat"/>
          </w:pPr>
        </w:p>
      </w:tc>
    </w:tr>
  </w:tbl>
  <w:p w14:paraId="3458251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87ED0D1" wp14:editId="241DB6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9BD96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EA2930" wp14:editId="0C3AE5A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AB98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94898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A4259" w14:textId="77777777" w:rsidR="00AB23EC" w:rsidRDefault="00AB23EC" w:rsidP="00962258">
      <w:r>
        <w:separator/>
      </w:r>
    </w:p>
  </w:footnote>
  <w:footnote w:type="continuationSeparator" w:id="0">
    <w:p w14:paraId="2A3FC9C6" w14:textId="77777777" w:rsidR="00AB23EC" w:rsidRDefault="00AB23E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AAF8D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97D499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7C44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5504ED" w14:textId="77777777" w:rsidR="00F1715C" w:rsidRPr="00D6163D" w:rsidRDefault="00F1715C" w:rsidP="00D6163D">
          <w:pPr>
            <w:pStyle w:val="Druhdokumentu"/>
          </w:pPr>
        </w:p>
      </w:tc>
    </w:tr>
  </w:tbl>
  <w:p w14:paraId="6A1892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FE7265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8273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F5153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3AB2B9" w14:textId="77777777" w:rsidR="00F1715C" w:rsidRPr="00D6163D" w:rsidRDefault="00F1715C" w:rsidP="00FC6389">
          <w:pPr>
            <w:pStyle w:val="Druhdokumentu"/>
          </w:pPr>
        </w:p>
      </w:tc>
    </w:tr>
    <w:tr w:rsidR="009F392E" w14:paraId="24CE27B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B6CE3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12026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F3DF67" w14:textId="77777777" w:rsidR="009F392E" w:rsidRPr="00D6163D" w:rsidRDefault="009F392E" w:rsidP="00FC6389">
          <w:pPr>
            <w:pStyle w:val="Druhdokumentu"/>
          </w:pPr>
        </w:p>
      </w:tc>
    </w:tr>
  </w:tbl>
  <w:p w14:paraId="13D590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DD263F" wp14:editId="751101C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1F4C0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284479"/>
    <w:multiLevelType w:val="hybridMultilevel"/>
    <w:tmpl w:val="2976132C"/>
    <w:lvl w:ilvl="0" w:tplc="6906A032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CCD4C51"/>
    <w:multiLevelType w:val="hybridMultilevel"/>
    <w:tmpl w:val="29702CD4"/>
    <w:lvl w:ilvl="0" w:tplc="3FFC1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EC"/>
    <w:rsid w:val="00007BCA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124E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72B7"/>
    <w:rsid w:val="007E4A6E"/>
    <w:rsid w:val="007F56A7"/>
    <w:rsid w:val="00807DD0"/>
    <w:rsid w:val="008659F3"/>
    <w:rsid w:val="00865B0B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23EC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13E8E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E40B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69E325"/>
  <w14:defaultImageDpi w14:val="32767"/>
  <w15:docId w15:val="{D383A8FC-E621-404C-9854-17F53F6E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612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D72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72B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72B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72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72B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8C60F2-1203-4785-BBF8-2CEEB7C2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3</Pages>
  <Words>1305</Words>
  <Characters>7706</Characters>
  <Application>Microsoft Office Word</Application>
  <DocSecurity>0</DocSecurity>
  <Lines>64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2017-11-28T17:18:00Z</cp:lastPrinted>
  <dcterms:created xsi:type="dcterms:W3CDTF">2020-06-15T12:44:00Z</dcterms:created>
  <dcterms:modified xsi:type="dcterms:W3CDTF">2020-06-17T11:45:00Z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